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75" w:before="75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374853"/>
          <w:sz w:val="21"/>
          <w:szCs w:val="21"/>
          <w:rtl w:val="0"/>
        </w:rPr>
        <w:t xml:space="preserve">LECTOR DE CODIGO DE BARRAS ALAMBRICO  BC-26 = 250 SOLES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3143250" cy="371475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Lector de código de barras, de buena calidad y precio muy competitivo. Tiene una respuesta de lectura precisa y rápida a una distancia conveniente. Programable para la solución que desee. Funciones de Lectura en diferentes idiomas.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CARACTERISTICAS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17"/>
          <w:szCs w:val="17"/>
          <w:rtl w:val="0"/>
        </w:rPr>
        <w:t xml:space="preserve">* Lector y decodificador de codigos de barras en la mayoria de formatos existentes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Emula la entrada de texto (al igual que un teclado)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Emisión de documentos (recibos, boletas, etc.) del codigo por conexion USB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Imprime tickets para uso comercial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Emite documentos a alta velocidad en un tamaño compacto.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t xml:space="preserve">* Emisión de documentos (recibos, boletas, etc.)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t xml:space="preserve">CONTENIDO DEL PAQUETE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b w:val="1"/>
          <w:color w:val="666699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t xml:space="preserve">* Lector de Codigo de barras BC26</w:t>
      </w:r>
      <w:r w:rsidDel="00000000" w:rsidR="00000000" w:rsidRPr="00000000">
        <w:rPr>
          <w:rFonts w:ascii="inherit" w:cs="inherit" w:eastAsia="inherit" w:hAnsi="inherit"/>
          <w:color w:val="767676"/>
          <w:sz w:val="17"/>
          <w:szCs w:val="17"/>
          <w:rtl w:val="0"/>
        </w:rPr>
        <w:br w:type="textWrapping"/>
      </w: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t xml:space="preserve">* Cable conector USB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br w:type="textWrapping"/>
        <w:t xml:space="preserve">     EL PAQUETE NO INCLUYE INTALACION ,CAPACITACION  NI SOPORTE TECNICO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888888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inherit" w:cs="inherit" w:eastAsia="inherit" w:hAnsi="inherit"/>
          <w:color w:val="000000"/>
          <w:sz w:val="17"/>
          <w:szCs w:val="17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3794.9999999999995" w:type="dxa"/>
        <w:jc w:val="left"/>
        <w:tblBorders>
          <w:top w:color="e5e6e7" w:space="0" w:sz="6" w:val="single"/>
          <w:left w:color="e5e6e7" w:space="0" w:sz="6" w:val="single"/>
          <w:bottom w:color="e5e6e7" w:space="0" w:sz="6" w:val="single"/>
          <w:right w:color="e5e6e7" w:space="0" w:sz="6" w:val="single"/>
        </w:tblBorders>
        <w:tblLayout w:type="fixed"/>
        <w:tblLook w:val="0400"/>
      </w:tblPr>
      <w:tblGrid>
        <w:gridCol w:w="1029"/>
        <w:gridCol w:w="1058"/>
        <w:gridCol w:w="986"/>
        <w:gridCol w:w="722"/>
        <w:tblGridChange w:id="0">
          <w:tblGrid>
            <w:gridCol w:w="1029"/>
            <w:gridCol w:w="1058"/>
            <w:gridCol w:w="986"/>
            <w:gridCol w:w="722"/>
          </w:tblGrid>
        </w:tblGridChange>
      </w:tblGrid>
      <w:tr>
        <w:tc>
          <w:tcPr>
            <w:gridSpan w:val="4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ESPECIFICACIONES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MEDIO AMBIENTE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COMUNICACION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Temperatura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-10ºC - 60ºC  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Tipo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USB 2.0 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Humedad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0 - 95%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Red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TCP / IP </w:t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LECTURA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333399"/>
                <w:sz w:val="17"/>
                <w:szCs w:val="17"/>
                <w:rtl w:val="0"/>
              </w:rPr>
              <w:t xml:space="preserve">DIMENSIONES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BC 0.1mm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2 - 9 cm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Longitud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68 mm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BC 0.3mm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3 - 40 cm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Altura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158 mm  </w:t>
            </w:r>
          </w:p>
        </w:tc>
      </w:tr>
      <w:tr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Ancho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5 - 30 cm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Profundidad 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98 mm</w:t>
            </w:r>
          </w:p>
        </w:tc>
      </w:tr>
      <w:tr>
        <w:tc>
          <w:tcPr>
            <w:gridSpan w:val="2"/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 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efefe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Peso</w:t>
            </w:r>
          </w:p>
        </w:tc>
        <w:tc>
          <w:tcPr>
            <w:tcBorders>
              <w:top w:color="e5e6e7" w:space="0" w:sz="6" w:val="single"/>
              <w:left w:color="e5e6e7" w:space="0" w:sz="6" w:val="single"/>
              <w:bottom w:color="e5e6e7" w:space="0" w:sz="6" w:val="single"/>
              <w:right w:color="e5e6e7" w:space="0" w:sz="6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inherit" w:cs="inherit" w:eastAsia="inherit" w:hAnsi="inherit"/>
                <w:color w:val="767676"/>
                <w:sz w:val="17"/>
                <w:szCs w:val="17"/>
                <w:rtl w:val="0"/>
              </w:rPr>
              <w:t xml:space="preserve">135 Gr</w:t>
            </w:r>
          </w:p>
        </w:tc>
      </w:tr>
    </w:tbl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4924425" cy="5657850"/>
            <wp:effectExtent b="0" l="0" r="0" t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65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  <w:font w:name="Verdana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image" Target="media/image03.png"/></Relationships>
</file>